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15305F" w14:textId="307F26EB" w:rsidR="00AF38F5" w:rsidRDefault="00AF38F5" w:rsidP="00AF38F5">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105</w:t>
      </w:r>
      <w:r>
        <w:rPr>
          <w:rFonts w:ascii="Arial" w:eastAsia="MS Mincho" w:hAnsi="Arial" w:cs="Arial"/>
          <w:b/>
          <w:sz w:val="24"/>
          <w:szCs w:val="24"/>
        </w:rPr>
        <w:tab/>
        <w:t>R4-2</w:t>
      </w:r>
      <w:r w:rsidR="008166B0">
        <w:rPr>
          <w:rFonts w:ascii="Arial" w:eastAsia="MS Mincho" w:hAnsi="Arial" w:cs="Arial"/>
          <w:b/>
          <w:sz w:val="24"/>
          <w:szCs w:val="24"/>
        </w:rPr>
        <w:t>303560</w:t>
      </w:r>
    </w:p>
    <w:p w14:paraId="49EDA54C" w14:textId="77777777" w:rsidR="00AF38F5" w:rsidRDefault="00AF38F5" w:rsidP="00AF38F5">
      <w:pPr>
        <w:tabs>
          <w:tab w:val="right" w:pos="10440"/>
          <w:tab w:val="right" w:pos="13323"/>
        </w:tabs>
        <w:spacing w:afterLines="100" w:after="240"/>
        <w:rPr>
          <w:rFonts w:ascii="Arial" w:hAnsi="Arial" w:cs="Arial"/>
          <w:b/>
          <w:sz w:val="24"/>
          <w:szCs w:val="24"/>
          <w:lang w:val="en-US" w:eastAsia="zh-CN"/>
        </w:rPr>
      </w:pPr>
      <w:r>
        <w:rPr>
          <w:rFonts w:ascii="Arial" w:hAnsi="Arial" w:cs="Arial"/>
          <w:b/>
          <w:sz w:val="24"/>
          <w:szCs w:val="24"/>
          <w:lang w:eastAsia="zh-CN"/>
        </w:rPr>
        <w:t>Toulouse</w:t>
      </w:r>
      <w:r w:rsidRPr="00E13633">
        <w:rPr>
          <w:rFonts w:ascii="Arial" w:hAnsi="Arial" w:cs="Arial"/>
          <w:b/>
          <w:sz w:val="24"/>
          <w:szCs w:val="24"/>
          <w:lang w:eastAsia="zh-CN"/>
        </w:rPr>
        <w:t>,</w:t>
      </w:r>
      <w:r>
        <w:rPr>
          <w:rFonts w:ascii="Arial" w:hAnsi="Arial" w:cs="Arial"/>
          <w:b/>
          <w:sz w:val="24"/>
          <w:szCs w:val="24"/>
          <w:lang w:eastAsia="zh-CN"/>
        </w:rPr>
        <w:t xml:space="preserve"> France,</w:t>
      </w:r>
      <w:r w:rsidRPr="00E13633">
        <w:rPr>
          <w:rFonts w:ascii="Arial" w:hAnsi="Arial" w:cs="Arial"/>
          <w:b/>
          <w:sz w:val="24"/>
          <w:szCs w:val="24"/>
          <w:lang w:eastAsia="zh-CN"/>
        </w:rPr>
        <w:t xml:space="preserve"> </w:t>
      </w:r>
      <w:r>
        <w:rPr>
          <w:rFonts w:ascii="Arial" w:hAnsi="Arial" w:cs="Arial"/>
          <w:b/>
          <w:sz w:val="24"/>
          <w:szCs w:val="24"/>
          <w:lang w:eastAsia="zh-CN"/>
        </w:rPr>
        <w:t>November 14</w:t>
      </w:r>
      <w:r w:rsidRPr="00E13633">
        <w:rPr>
          <w:rFonts w:ascii="Arial" w:hAnsi="Arial" w:cs="Arial"/>
          <w:b/>
          <w:sz w:val="24"/>
          <w:szCs w:val="24"/>
          <w:lang w:eastAsia="zh-CN"/>
        </w:rPr>
        <w:t xml:space="preserve"> </w:t>
      </w:r>
      <w:r>
        <w:rPr>
          <w:rFonts w:ascii="Arial" w:hAnsi="Arial" w:cs="Arial" w:hint="eastAsia"/>
          <w:b/>
          <w:sz w:val="24"/>
          <w:szCs w:val="24"/>
          <w:lang w:eastAsia="zh-CN"/>
        </w:rPr>
        <w:t>-</w:t>
      </w:r>
      <w:r>
        <w:rPr>
          <w:rFonts w:ascii="Arial" w:hAnsi="Arial" w:cs="Arial"/>
          <w:b/>
          <w:sz w:val="24"/>
          <w:szCs w:val="24"/>
          <w:lang w:eastAsia="zh-CN"/>
        </w:rPr>
        <w:t xml:space="preserve"> 18</w:t>
      </w:r>
      <w:r w:rsidRPr="00E13633">
        <w:rPr>
          <w:rFonts w:ascii="Arial" w:hAnsi="Arial" w:cs="Arial"/>
          <w:b/>
          <w:sz w:val="24"/>
          <w:szCs w:val="24"/>
          <w:lang w:eastAsia="zh-CN"/>
        </w:rPr>
        <w:t>, 2022</w:t>
      </w:r>
    </w:p>
    <w:p w14:paraId="3CEB26F5" w14:textId="41409A83" w:rsidR="00AF38F5" w:rsidRDefault="00AF38F5" w:rsidP="00AF38F5">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Pr="00963C12">
        <w:rPr>
          <w:rFonts w:ascii="Arial" w:hAnsi="Arial" w:cs="Arial"/>
          <w:sz w:val="22"/>
          <w:lang w:eastAsia="zh-CN"/>
        </w:rPr>
        <w:t xml:space="preserve">WF on </w:t>
      </w:r>
      <w:r w:rsidR="00F71FBC">
        <w:rPr>
          <w:rFonts w:ascii="Arial" w:hAnsi="Arial" w:cs="Arial"/>
          <w:sz w:val="22"/>
          <w:lang w:eastAsia="zh-CN"/>
        </w:rPr>
        <w:t>coverage enhancement part 1</w:t>
      </w:r>
    </w:p>
    <w:p w14:paraId="24425062" w14:textId="13DE366F" w:rsidR="00AF38F5" w:rsidRDefault="00AF38F5" w:rsidP="00AF38F5">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F71FBC">
        <w:rPr>
          <w:rFonts w:ascii="Arial" w:eastAsia="等线" w:hAnsi="Arial" w:cs="Arial"/>
          <w:color w:val="000000"/>
          <w:sz w:val="22"/>
          <w:lang w:eastAsia="zh-CN"/>
        </w:rPr>
        <w:t>9</w:t>
      </w:r>
      <w:r>
        <w:rPr>
          <w:rFonts w:ascii="Arial" w:eastAsia="等线" w:hAnsi="Arial" w:cs="Arial"/>
          <w:color w:val="000000"/>
          <w:sz w:val="22"/>
          <w:lang w:eastAsia="zh-CN"/>
        </w:rPr>
        <w:t>.2</w:t>
      </w:r>
      <w:r w:rsidR="00F71FBC">
        <w:rPr>
          <w:rFonts w:ascii="Arial" w:eastAsia="等线" w:hAnsi="Arial" w:cs="Arial"/>
          <w:color w:val="000000"/>
          <w:sz w:val="22"/>
          <w:lang w:eastAsia="zh-CN"/>
        </w:rPr>
        <w:t>6</w:t>
      </w:r>
      <w:r>
        <w:rPr>
          <w:rFonts w:ascii="Arial" w:eastAsia="等线" w:hAnsi="Arial" w:cs="Arial"/>
          <w:color w:val="000000"/>
          <w:sz w:val="22"/>
          <w:lang w:eastAsia="zh-CN"/>
        </w:rPr>
        <w:t>.3</w:t>
      </w:r>
    </w:p>
    <w:p w14:paraId="1F128F1A" w14:textId="77777777" w:rsidR="00AF38F5" w:rsidRDefault="00AF38F5" w:rsidP="00AF38F5">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5C203682" w14:textId="3BD81ED6" w:rsidR="006D6754" w:rsidRPr="002B3EF0" w:rsidRDefault="00AF38F5" w:rsidP="002B3EF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09286E5" w14:textId="2C31BDA6" w:rsidR="00E80B52" w:rsidRPr="00805BE8" w:rsidRDefault="00142BB9" w:rsidP="002B3EF0">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F71FBC" w:rsidRPr="00F71FBC">
        <w:rPr>
          <w:lang w:eastAsia="zh-CN"/>
        </w:rPr>
        <w:t>On the extension of Rel-17 increasing UE power high limit design for CA/DC</w:t>
      </w:r>
    </w:p>
    <w:p w14:paraId="1D55D665" w14:textId="12796801" w:rsidR="00571777" w:rsidRPr="002B3EF0" w:rsidRDefault="002B3EF0" w:rsidP="00F71FBC">
      <w:pPr>
        <w:pStyle w:val="2"/>
        <w:numPr>
          <w:ilvl w:val="0"/>
          <w:numId w:val="0"/>
        </w:numPr>
        <w:ind w:left="576" w:hanging="576"/>
        <w:rPr>
          <w:rFonts w:ascii="Times New Roman" w:hAnsi="Times New Roman"/>
          <w:b/>
          <w:sz w:val="20"/>
          <w:u w:val="single"/>
          <w:lang w:eastAsia="ko-KR"/>
        </w:rPr>
      </w:pPr>
      <w:r w:rsidRPr="002B3EF0">
        <w:rPr>
          <w:rFonts w:ascii="Times New Roman" w:hAnsi="Times New Roman"/>
          <w:b/>
          <w:sz w:val="20"/>
          <w:u w:val="single"/>
          <w:lang w:eastAsia="ko-KR"/>
        </w:rPr>
        <w:t>Issue 1</w:t>
      </w:r>
      <w:r w:rsidR="00571777" w:rsidRPr="002B3EF0">
        <w:rPr>
          <w:rFonts w:ascii="Times New Roman" w:hAnsi="Times New Roman"/>
          <w:b/>
          <w:sz w:val="20"/>
          <w:u w:val="single"/>
          <w:lang w:eastAsia="ko-KR"/>
        </w:rPr>
        <w:t xml:space="preserve">: </w:t>
      </w:r>
      <w:r w:rsidR="00F71FBC" w:rsidRPr="00F71FBC">
        <w:rPr>
          <w:rFonts w:ascii="Times New Roman" w:hAnsi="Times New Roman"/>
          <w:b/>
          <w:sz w:val="20"/>
          <w:u w:val="single"/>
          <w:lang w:eastAsia="ko-KR"/>
        </w:rPr>
        <w:t>Whether to extend the agreement for enabling high power limit enhancement for PC3+PC5 CA configuration for EN-DC case</w:t>
      </w:r>
    </w:p>
    <w:p w14:paraId="59ADB30B" w14:textId="77777777" w:rsidR="002B3EF0" w:rsidRPr="008166B0" w:rsidRDefault="002B3EF0" w:rsidP="002B3EF0">
      <w:pPr>
        <w:widowControl w:val="0"/>
        <w:tabs>
          <w:tab w:val="num" w:pos="1440"/>
          <w:tab w:val="num" w:pos="1701"/>
        </w:tabs>
        <w:spacing w:beforeLines="50" w:before="120"/>
        <w:rPr>
          <w:lang w:eastAsia="zh-CN"/>
        </w:rPr>
      </w:pPr>
      <w:r w:rsidRPr="008166B0">
        <w:rPr>
          <w:b/>
          <w:lang w:eastAsia="zh-CN"/>
        </w:rPr>
        <w:t>&lt;</w:t>
      </w:r>
      <w:r w:rsidRPr="008166B0">
        <w:rPr>
          <w:b/>
        </w:rPr>
        <w:t>Agreement</w:t>
      </w:r>
      <w:r w:rsidRPr="008166B0">
        <w:rPr>
          <w:b/>
          <w:lang w:eastAsia="zh-CN"/>
        </w:rPr>
        <w:t>&gt;</w:t>
      </w:r>
      <w:r w:rsidRPr="008166B0">
        <w:rPr>
          <w:lang w:eastAsia="zh-CN"/>
        </w:rPr>
        <w:t xml:space="preserve">: Main session </w:t>
      </w:r>
    </w:p>
    <w:p w14:paraId="4A2D363D" w14:textId="64148E0C" w:rsidR="002B3EF0" w:rsidRPr="008166B0" w:rsidRDefault="008166B0" w:rsidP="002B3EF0">
      <w:pPr>
        <w:pStyle w:val="afe"/>
        <w:numPr>
          <w:ilvl w:val="0"/>
          <w:numId w:val="32"/>
        </w:numPr>
        <w:ind w:firstLineChars="0"/>
        <w:rPr>
          <w:lang w:eastAsia="ko-KR"/>
        </w:rPr>
      </w:pPr>
      <w:r w:rsidRPr="008166B0">
        <w:rPr>
          <w:lang w:eastAsia="zh-CN"/>
        </w:rPr>
        <w:t>Option 1: Yes, and adopt the accompany CR for CA in R4-2301545 and for DC in R4-2301546.</w:t>
      </w:r>
    </w:p>
    <w:p w14:paraId="60A3F7F5" w14:textId="77777777" w:rsidR="002B3EF0" w:rsidRDefault="002B3EF0" w:rsidP="002B3EF0">
      <w:pPr>
        <w:pStyle w:val="afe"/>
        <w:ind w:left="840" w:firstLineChars="0" w:firstLine="0"/>
        <w:rPr>
          <w:lang w:eastAsia="ko-KR"/>
        </w:rPr>
      </w:pPr>
    </w:p>
    <w:p w14:paraId="5FB734A5" w14:textId="4F5653E1" w:rsidR="002B3EF0" w:rsidRDefault="002B3EF0" w:rsidP="002B3EF0">
      <w:pPr>
        <w:pStyle w:val="2"/>
        <w:numPr>
          <w:ilvl w:val="0"/>
          <w:numId w:val="0"/>
        </w:numPr>
        <w:ind w:left="576" w:hanging="576"/>
        <w:jc w:val="both"/>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2</w:t>
      </w:r>
      <w:r w:rsidRPr="002B3EF0">
        <w:rPr>
          <w:rFonts w:ascii="Times New Roman" w:hAnsi="Times New Roman"/>
          <w:b/>
          <w:sz w:val="20"/>
          <w:u w:val="single"/>
          <w:lang w:eastAsia="ko-KR"/>
        </w:rPr>
        <w:t xml:space="preserve">: </w:t>
      </w:r>
      <w:r w:rsidR="00F71FBC" w:rsidRPr="00F71FBC">
        <w:rPr>
          <w:rFonts w:ascii="Times New Roman" w:hAnsi="Times New Roman"/>
          <w:b/>
          <w:sz w:val="20"/>
          <w:u w:val="single"/>
          <w:lang w:eastAsia="ko-KR"/>
        </w:rPr>
        <w:t>Whether to consider the extension of Rel-17 increasing UE power high limit for 3Tx UE with total PC1.5 (PC3 + PC1.5) inter-band CA/DC configuration</w:t>
      </w:r>
    </w:p>
    <w:p w14:paraId="347CA9A2" w14:textId="6AF87959" w:rsidR="008166B0" w:rsidRPr="008166B0" w:rsidRDefault="008166B0" w:rsidP="008166B0">
      <w:pPr>
        <w:spacing w:after="120"/>
        <w:rPr>
          <w:b/>
          <w:lang w:eastAsia="zh-CN"/>
        </w:rPr>
      </w:pPr>
      <w:r w:rsidRPr="008166B0">
        <w:rPr>
          <w:rFonts w:hint="eastAsia"/>
          <w:b/>
          <w:lang w:eastAsia="zh-CN"/>
        </w:rPr>
        <w:t>&lt;</w:t>
      </w:r>
      <w:r w:rsidRPr="008166B0">
        <w:rPr>
          <w:b/>
          <w:lang w:eastAsia="zh-CN"/>
        </w:rPr>
        <w:t>Recommended WF&gt;</w:t>
      </w:r>
    </w:p>
    <w:p w14:paraId="6DD35D02" w14:textId="256BD2A4" w:rsidR="002B3EF0" w:rsidRPr="002B3EF0" w:rsidRDefault="008166B0" w:rsidP="008166B0">
      <w:pPr>
        <w:pStyle w:val="afe"/>
        <w:numPr>
          <w:ilvl w:val="0"/>
          <w:numId w:val="33"/>
        </w:numPr>
        <w:overflowPunct/>
        <w:autoSpaceDE/>
        <w:autoSpaceDN/>
        <w:adjustRightInd/>
        <w:spacing w:after="120"/>
        <w:ind w:firstLineChars="0"/>
        <w:textAlignment w:val="auto"/>
      </w:pPr>
      <w:r>
        <w:t xml:space="preserve">FFS whether to consider </w:t>
      </w:r>
      <w:r w:rsidRPr="008166B0">
        <w:t>the extension of Rel-17 increasing UE power high limit for 3Tx UE with total PC1.5 (PC3 + PC1.5) inter-band CA/DC configuration</w:t>
      </w:r>
      <w:r w:rsidR="002B3EF0" w:rsidRPr="002B3EF0">
        <w:t>.</w:t>
      </w:r>
    </w:p>
    <w:p w14:paraId="13779B7C" w14:textId="77777777" w:rsidR="002B3EF0" w:rsidRDefault="002B3EF0" w:rsidP="002B3EF0">
      <w:pPr>
        <w:rPr>
          <w:rFonts w:eastAsia="Malgun Gothic"/>
          <w:lang w:eastAsia="ko-KR"/>
        </w:rPr>
      </w:pPr>
    </w:p>
    <w:p w14:paraId="19F7EE27" w14:textId="543FFFB1" w:rsidR="00834B7E" w:rsidRPr="00834B7E" w:rsidRDefault="00834B7E" w:rsidP="00834B7E">
      <w:pPr>
        <w:pStyle w:val="1"/>
        <w:numPr>
          <w:ilvl w:val="0"/>
          <w:numId w:val="0"/>
        </w:numPr>
        <w:ind w:left="432" w:hanging="432"/>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 xml:space="preserve">Enhancement for SAR issue mitigation </w:t>
      </w:r>
    </w:p>
    <w:p w14:paraId="10509D24" w14:textId="29959B8D" w:rsidR="002B3EF0" w:rsidRPr="002B3EF0" w:rsidRDefault="002B3EF0" w:rsidP="002B3EF0">
      <w:pPr>
        <w:pStyle w:val="2"/>
        <w:numPr>
          <w:ilvl w:val="0"/>
          <w:numId w:val="0"/>
        </w:numPr>
        <w:jc w:val="both"/>
        <w:rPr>
          <w:rFonts w:ascii="Times New Roman" w:hAnsi="Times New Roman"/>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3</w:t>
      </w:r>
      <w:r w:rsidRPr="002B3EF0">
        <w:rPr>
          <w:rFonts w:ascii="Times New Roman" w:hAnsi="Times New Roman"/>
          <w:b/>
          <w:sz w:val="20"/>
          <w:u w:val="single"/>
          <w:lang w:eastAsia="ko-KR"/>
        </w:rPr>
        <w:t xml:space="preserve">: </w:t>
      </w:r>
      <w:r w:rsidR="008166B0" w:rsidRPr="008166B0">
        <w:rPr>
          <w:rFonts w:ascii="Times New Roman" w:hAnsi="Times New Roman"/>
          <w:b/>
          <w:sz w:val="20"/>
          <w:u w:val="single"/>
          <w:lang w:val="en-GB" w:eastAsia="ko-KR"/>
        </w:rPr>
        <w:t>Whether to continue the discussion for SAR mitigation issue in RAN4</w:t>
      </w:r>
    </w:p>
    <w:p w14:paraId="222C1275" w14:textId="23E0FE15" w:rsidR="002B3EF0" w:rsidRPr="002B3EF0" w:rsidRDefault="002B3EF0" w:rsidP="002B3EF0">
      <w:pPr>
        <w:widowControl w:val="0"/>
        <w:tabs>
          <w:tab w:val="num" w:pos="1440"/>
          <w:tab w:val="num" w:pos="1701"/>
        </w:tabs>
        <w:spacing w:beforeLines="50" w:before="120"/>
        <w:rPr>
          <w:lang w:eastAsia="zh-CN"/>
        </w:rPr>
      </w:pPr>
      <w:r w:rsidRPr="00FC351E">
        <w:rPr>
          <w:b/>
          <w:lang w:eastAsia="zh-CN"/>
        </w:rPr>
        <w:t>&lt;</w:t>
      </w:r>
      <w:r w:rsidR="008166B0" w:rsidRPr="008166B0">
        <w:rPr>
          <w:b/>
          <w:lang w:eastAsia="zh-CN"/>
        </w:rPr>
        <w:t>Recommended WF</w:t>
      </w:r>
      <w:r w:rsidRPr="00FC351E">
        <w:rPr>
          <w:b/>
          <w:lang w:eastAsia="zh-CN"/>
        </w:rPr>
        <w:t>&gt;</w:t>
      </w:r>
    </w:p>
    <w:p w14:paraId="0FCCE84D" w14:textId="786A5A4C" w:rsidR="002B3EF0" w:rsidRDefault="00834B7E" w:rsidP="002B3EF0">
      <w:pPr>
        <w:pStyle w:val="afe"/>
        <w:numPr>
          <w:ilvl w:val="0"/>
          <w:numId w:val="33"/>
        </w:numPr>
        <w:overflowPunct/>
        <w:autoSpaceDE/>
        <w:autoSpaceDN/>
        <w:adjustRightInd/>
        <w:spacing w:after="120"/>
        <w:ind w:firstLineChars="0"/>
        <w:textAlignment w:val="auto"/>
      </w:pPr>
      <w:r>
        <w:t>FFS whether to consider enhancement for SAR mitigation issue in RAN4</w:t>
      </w:r>
      <w:bookmarkStart w:id="0" w:name="_GoBack"/>
      <w:bookmarkEnd w:id="0"/>
      <w:r w:rsidR="002B3EF0" w:rsidRPr="002B3EF0">
        <w:t>.</w:t>
      </w:r>
    </w:p>
    <w:p w14:paraId="2360C406" w14:textId="2D8ED304" w:rsidR="00D83E9A" w:rsidRPr="002B3EF0" w:rsidRDefault="00D83E9A" w:rsidP="00D83E9A">
      <w:pPr>
        <w:pStyle w:val="afe"/>
        <w:numPr>
          <w:ilvl w:val="1"/>
          <w:numId w:val="33"/>
        </w:numPr>
        <w:overflowPunct/>
        <w:autoSpaceDE/>
        <w:autoSpaceDN/>
        <w:adjustRightInd/>
        <w:spacing w:after="120"/>
        <w:ind w:firstLineChars="0"/>
        <w:textAlignment w:val="auto"/>
      </w:pPr>
      <w:r w:rsidRPr="00D83E9A">
        <w:t>The behaviour of gNB scheduler should be considered when the issue is discussed</w:t>
      </w:r>
      <w:r w:rsidR="00834B7E">
        <w:t>.</w:t>
      </w:r>
    </w:p>
    <w:p w14:paraId="76CC11A0" w14:textId="77777777" w:rsidR="00834B7E" w:rsidRDefault="00834B7E" w:rsidP="005B4802">
      <w:pPr>
        <w:rPr>
          <w:color w:val="0070C0"/>
          <w:lang w:eastAsia="zh-CN"/>
        </w:rPr>
      </w:pPr>
    </w:p>
    <w:p w14:paraId="4AEB57F5" w14:textId="4282F04E" w:rsidR="00ED06C9" w:rsidRPr="00FC351E" w:rsidRDefault="00ED06C9" w:rsidP="00FC351E">
      <w:pPr>
        <w:pStyle w:val="2"/>
        <w:numPr>
          <w:ilvl w:val="0"/>
          <w:numId w:val="0"/>
        </w:numPr>
        <w:jc w:val="both"/>
        <w:rPr>
          <w:rFonts w:ascii="Times New Roman" w:hAnsi="Times New Roman"/>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4</w:t>
      </w:r>
      <w:r w:rsidRPr="002B3EF0">
        <w:rPr>
          <w:rFonts w:ascii="Times New Roman" w:hAnsi="Times New Roman"/>
          <w:b/>
          <w:sz w:val="20"/>
          <w:u w:val="single"/>
          <w:lang w:eastAsia="ko-KR"/>
        </w:rPr>
        <w:t xml:space="preserve">: </w:t>
      </w:r>
      <w:r w:rsidR="00834B7E" w:rsidRPr="00834B7E">
        <w:rPr>
          <w:rFonts w:ascii="Times New Roman" w:hAnsi="Times New Roman"/>
          <w:b/>
          <w:sz w:val="20"/>
          <w:u w:val="single"/>
          <w:lang w:val="en-GB" w:eastAsia="ko-KR"/>
        </w:rPr>
        <w:t>Whether PHR reporting should be considered for a carrier that is configured for DL but not for UL (no active UL BWP)</w:t>
      </w:r>
    </w:p>
    <w:p w14:paraId="27D1C156" w14:textId="170158C5" w:rsidR="00834B7E" w:rsidRDefault="00834B7E" w:rsidP="00834B7E">
      <w:pPr>
        <w:widowControl w:val="0"/>
        <w:tabs>
          <w:tab w:val="num" w:pos="1440"/>
          <w:tab w:val="num" w:pos="1701"/>
        </w:tabs>
        <w:spacing w:beforeLines="50" w:before="120"/>
        <w:rPr>
          <w:lang w:eastAsia="zh-CN"/>
        </w:rPr>
      </w:pPr>
      <w:r w:rsidRPr="00FC351E">
        <w:rPr>
          <w:b/>
          <w:lang w:eastAsia="zh-CN"/>
        </w:rPr>
        <w:t>&lt;</w:t>
      </w:r>
      <w:r w:rsidRPr="008166B0">
        <w:rPr>
          <w:b/>
          <w:lang w:eastAsia="zh-CN"/>
        </w:rPr>
        <w:t>Recommended WF</w:t>
      </w:r>
      <w:r w:rsidRPr="00FC351E">
        <w:rPr>
          <w:b/>
          <w:lang w:eastAsia="zh-CN"/>
        </w:rPr>
        <w:t>&gt;</w:t>
      </w:r>
    </w:p>
    <w:p w14:paraId="119596F6" w14:textId="56253D6C" w:rsidR="00CB416A" w:rsidRDefault="00834B7E" w:rsidP="0091378F">
      <w:pPr>
        <w:pStyle w:val="afe"/>
        <w:numPr>
          <w:ilvl w:val="0"/>
          <w:numId w:val="33"/>
        </w:numPr>
        <w:overflowPunct/>
        <w:autoSpaceDE/>
        <w:autoSpaceDN/>
        <w:adjustRightInd/>
        <w:spacing w:after="120"/>
        <w:ind w:firstLineChars="0"/>
        <w:textAlignment w:val="auto"/>
      </w:pPr>
      <w:r>
        <w:t>Further clarification would be required to justify the necessity to introduce PHR reporting for the carrier that is configured for DL but no UL (no active UL BWP) for coverage enhancement purpose</w:t>
      </w:r>
      <w:r w:rsidR="00CB416A">
        <w:t>.</w:t>
      </w:r>
    </w:p>
    <w:p w14:paraId="33C50EC3" w14:textId="7CB4212B" w:rsidR="00241E3F" w:rsidRDefault="00241E3F" w:rsidP="00241E3F">
      <w:pPr>
        <w:pStyle w:val="afe"/>
        <w:numPr>
          <w:ilvl w:val="1"/>
          <w:numId w:val="33"/>
        </w:numPr>
        <w:overflowPunct/>
        <w:autoSpaceDE/>
        <w:autoSpaceDN/>
        <w:adjustRightInd/>
        <w:spacing w:after="120"/>
        <w:ind w:firstLineChars="0"/>
        <w:textAlignment w:val="auto"/>
      </w:pPr>
      <w:r>
        <w:t>The difference between SRS carrier switching and the proposed scheme should be clarified.</w:t>
      </w:r>
    </w:p>
    <w:p w14:paraId="2CA96D2F" w14:textId="77777777" w:rsidR="00FC351E" w:rsidRPr="002B3EF0" w:rsidRDefault="00FC351E" w:rsidP="00FC351E">
      <w:pPr>
        <w:spacing w:after="120"/>
      </w:pPr>
    </w:p>
    <w:p w14:paraId="14A39452" w14:textId="4E13D5EE" w:rsidR="00807F65" w:rsidRPr="00FC351E" w:rsidRDefault="00807F65" w:rsidP="00FC351E">
      <w:pPr>
        <w:pStyle w:val="2"/>
        <w:numPr>
          <w:ilvl w:val="0"/>
          <w:numId w:val="0"/>
        </w:numPr>
        <w:jc w:val="both"/>
        <w:rPr>
          <w:rFonts w:ascii="Times New Roman" w:hAnsi="Times New Roman"/>
          <w:b/>
          <w:sz w:val="20"/>
          <w:u w:val="single"/>
          <w:lang w:val="en-GB" w:eastAsia="ko-KR"/>
        </w:rPr>
      </w:pPr>
      <w:bookmarkStart w:id="1" w:name="_Hlk119546542"/>
      <w:r w:rsidRPr="002B3EF0">
        <w:rPr>
          <w:rFonts w:ascii="Times New Roman" w:hAnsi="Times New Roman"/>
          <w:b/>
          <w:sz w:val="20"/>
          <w:u w:val="single"/>
          <w:lang w:eastAsia="ko-KR"/>
        </w:rPr>
        <w:lastRenderedPageBreak/>
        <w:t xml:space="preserve">Issue </w:t>
      </w:r>
      <w:r>
        <w:rPr>
          <w:rFonts w:ascii="Times New Roman" w:hAnsi="Times New Roman"/>
          <w:b/>
          <w:sz w:val="20"/>
          <w:u w:val="single"/>
          <w:lang w:eastAsia="ko-KR"/>
        </w:rPr>
        <w:t>5</w:t>
      </w:r>
      <w:r w:rsidRPr="002B3EF0">
        <w:rPr>
          <w:rFonts w:ascii="Times New Roman" w:hAnsi="Times New Roman"/>
          <w:b/>
          <w:sz w:val="20"/>
          <w:u w:val="single"/>
          <w:lang w:eastAsia="ko-KR"/>
        </w:rPr>
        <w:t xml:space="preserve">: </w:t>
      </w:r>
      <w:bookmarkEnd w:id="1"/>
      <w:r w:rsidR="00834B7E" w:rsidRPr="00834B7E">
        <w:rPr>
          <w:rFonts w:ascii="Times New Roman" w:hAnsi="Times New Roman"/>
          <w:b/>
          <w:sz w:val="20"/>
          <w:u w:val="single"/>
          <w:lang w:val="en-GB" w:eastAsia="ko-KR"/>
        </w:rPr>
        <w:t>Whether and how PHR reporting enhancement should be considered for FR1 carriers</w:t>
      </w:r>
    </w:p>
    <w:p w14:paraId="29B73CBC" w14:textId="5AC7CFAE" w:rsidR="00834B7E" w:rsidRDefault="00834B7E" w:rsidP="00834B7E">
      <w:pPr>
        <w:widowControl w:val="0"/>
        <w:tabs>
          <w:tab w:val="num" w:pos="1440"/>
          <w:tab w:val="num" w:pos="1701"/>
        </w:tabs>
        <w:spacing w:beforeLines="50" w:before="120"/>
        <w:rPr>
          <w:lang w:eastAsia="zh-CN"/>
        </w:rPr>
      </w:pPr>
      <w:r w:rsidRPr="00FC351E">
        <w:rPr>
          <w:b/>
          <w:lang w:eastAsia="zh-CN"/>
        </w:rPr>
        <w:t>&lt;</w:t>
      </w:r>
      <w:r w:rsidRPr="008166B0">
        <w:rPr>
          <w:b/>
          <w:lang w:eastAsia="zh-CN"/>
        </w:rPr>
        <w:t>Recommended WF</w:t>
      </w:r>
      <w:r w:rsidRPr="00FC351E">
        <w:rPr>
          <w:b/>
          <w:lang w:eastAsia="zh-CN"/>
        </w:rPr>
        <w:t>&gt;</w:t>
      </w:r>
    </w:p>
    <w:p w14:paraId="74824217" w14:textId="6C1DE7EB" w:rsidR="00807F65" w:rsidRDefault="00834B7E" w:rsidP="00807F65">
      <w:pPr>
        <w:pStyle w:val="afe"/>
        <w:numPr>
          <w:ilvl w:val="0"/>
          <w:numId w:val="33"/>
        </w:numPr>
        <w:overflowPunct/>
        <w:autoSpaceDE/>
        <w:autoSpaceDN/>
        <w:adjustRightInd/>
        <w:spacing w:after="120"/>
        <w:ind w:firstLineChars="0"/>
        <w:textAlignment w:val="auto"/>
      </w:pPr>
      <w:r>
        <w:t>RAN4 discussion will focus on the following solutions that have been proposed in this meeting:</w:t>
      </w:r>
    </w:p>
    <w:p w14:paraId="6E3BA91D" w14:textId="305920E0" w:rsidR="00834B7E" w:rsidRPr="00834B7E" w:rsidRDefault="00834B7E" w:rsidP="00834B7E">
      <w:pPr>
        <w:pStyle w:val="afe"/>
        <w:numPr>
          <w:ilvl w:val="2"/>
          <w:numId w:val="33"/>
        </w:numPr>
        <w:overflowPunct/>
        <w:autoSpaceDE/>
        <w:autoSpaceDN/>
        <w:adjustRightInd/>
        <w:spacing w:after="120"/>
        <w:ind w:firstLineChars="0"/>
        <w:textAlignment w:val="auto"/>
        <w:rPr>
          <w:rFonts w:eastAsia="宋体"/>
          <w:szCs w:val="24"/>
          <w:lang w:eastAsia="zh-CN"/>
        </w:rPr>
      </w:pPr>
      <w:r w:rsidRPr="00834B7E">
        <w:rPr>
          <w:rFonts w:eastAsia="宋体"/>
          <w:szCs w:val="24"/>
          <w:lang w:eastAsia="zh-CN"/>
        </w:rPr>
        <w:t xml:space="preserve">Power class fallback </w:t>
      </w:r>
      <w:r w:rsidRPr="00834B7E">
        <w:rPr>
          <w:rFonts w:eastAsia="Times New Roman"/>
          <w:bCs/>
          <w:lang w:eastAsia="zh-CN"/>
        </w:rPr>
        <w:t>ΔP</w:t>
      </w:r>
      <w:r w:rsidRPr="00834B7E">
        <w:rPr>
          <w:rFonts w:eastAsia="Times New Roman"/>
          <w:bCs/>
          <w:vertAlign w:val="subscript"/>
          <w:lang w:eastAsia="zh-CN"/>
        </w:rPr>
        <w:t>PowerClass</w:t>
      </w:r>
      <w:r w:rsidRPr="00834B7E">
        <w:rPr>
          <w:rFonts w:eastAsia="宋体"/>
          <w:szCs w:val="24"/>
          <w:lang w:eastAsia="zh-CN"/>
        </w:rPr>
        <w:t xml:space="preserve"> with aperiodic PHR. </w:t>
      </w:r>
    </w:p>
    <w:p w14:paraId="01D3C11D" w14:textId="77777777" w:rsidR="00834B7E" w:rsidRPr="00834B7E" w:rsidRDefault="00834B7E" w:rsidP="00834B7E">
      <w:pPr>
        <w:pStyle w:val="afe"/>
        <w:numPr>
          <w:ilvl w:val="3"/>
          <w:numId w:val="33"/>
        </w:numPr>
        <w:overflowPunct/>
        <w:autoSpaceDE/>
        <w:autoSpaceDN/>
        <w:adjustRightInd/>
        <w:spacing w:after="120"/>
        <w:ind w:firstLineChars="0"/>
        <w:textAlignment w:val="auto"/>
        <w:rPr>
          <w:rFonts w:eastAsia="宋体"/>
          <w:szCs w:val="24"/>
          <w:lang w:eastAsia="zh-CN"/>
        </w:rPr>
      </w:pPr>
      <w:r w:rsidRPr="00834B7E">
        <w:rPr>
          <w:rFonts w:eastAsia="Times New Roman"/>
          <w:bCs/>
          <w:lang w:eastAsia="zh-CN"/>
        </w:rPr>
        <w:t>Report power-class fallback ΔP</w:t>
      </w:r>
      <w:r w:rsidRPr="00834B7E">
        <w:rPr>
          <w:rFonts w:eastAsia="Times New Roman"/>
          <w:bCs/>
          <w:vertAlign w:val="subscript"/>
          <w:lang w:eastAsia="zh-CN"/>
        </w:rPr>
        <w:t>PowerClass</w:t>
      </w:r>
      <w:r w:rsidRPr="00834B7E">
        <w:rPr>
          <w:rFonts w:eastAsia="Times New Roman"/>
          <w:bCs/>
          <w:lang w:eastAsia="zh-CN"/>
        </w:rPr>
        <w:t xml:space="preserve"> in the PHR per serving cell, any power-class change, fallback or return to declared power class, should trigger an aperiodic PHR. This also includes FDD PC2.</w:t>
      </w:r>
    </w:p>
    <w:p w14:paraId="33A42783" w14:textId="77777777" w:rsidR="00834B7E" w:rsidRPr="00834B7E" w:rsidRDefault="00834B7E" w:rsidP="00834B7E">
      <w:pPr>
        <w:pStyle w:val="afe"/>
        <w:numPr>
          <w:ilvl w:val="3"/>
          <w:numId w:val="33"/>
        </w:numPr>
        <w:overflowPunct/>
        <w:autoSpaceDE/>
        <w:autoSpaceDN/>
        <w:adjustRightInd/>
        <w:spacing w:after="120"/>
        <w:ind w:firstLineChars="0"/>
        <w:textAlignment w:val="auto"/>
        <w:rPr>
          <w:rFonts w:eastAsia="宋体"/>
          <w:szCs w:val="24"/>
          <w:lang w:eastAsia="zh-CN"/>
        </w:rPr>
      </w:pPr>
      <w:r w:rsidRPr="00834B7E">
        <w:rPr>
          <w:rFonts w:eastAsia="Times New Roman"/>
          <w:bCs/>
          <w:lang w:eastAsia="zh-CN"/>
        </w:rPr>
        <w:t>Report power-class fallback ΔP</w:t>
      </w:r>
      <w:r w:rsidRPr="00834B7E">
        <w:rPr>
          <w:rFonts w:eastAsia="Times New Roman"/>
          <w:bCs/>
          <w:vertAlign w:val="subscript"/>
          <w:lang w:eastAsia="zh-CN"/>
        </w:rPr>
        <w:t>PowerClass,CA</w:t>
      </w:r>
      <w:r w:rsidRPr="00834B7E">
        <w:rPr>
          <w:rFonts w:eastAsia="Times New Roman"/>
          <w:bCs/>
          <w:lang w:eastAsia="zh-CN"/>
        </w:rPr>
        <w:t xml:space="preserve"> in the multi-entry PHR for the BC; any BC power-class change, fallback or return to advertised BC power class, should also trigger an aperiodic PHR.</w:t>
      </w:r>
    </w:p>
    <w:p w14:paraId="372159FF" w14:textId="3B8CAC5A" w:rsidR="00834B7E" w:rsidRPr="00834B7E" w:rsidRDefault="00834B7E" w:rsidP="00834B7E">
      <w:pPr>
        <w:pStyle w:val="afe"/>
        <w:numPr>
          <w:ilvl w:val="3"/>
          <w:numId w:val="33"/>
        </w:numPr>
        <w:overflowPunct/>
        <w:autoSpaceDE/>
        <w:autoSpaceDN/>
        <w:adjustRightInd/>
        <w:spacing w:after="120"/>
        <w:ind w:firstLineChars="0"/>
        <w:textAlignment w:val="auto"/>
      </w:pPr>
      <w:r w:rsidRPr="00834B7E">
        <w:rPr>
          <w:bCs/>
        </w:rPr>
        <w:t>For EN-DC</w:t>
      </w:r>
      <w:r w:rsidRPr="00834B7E">
        <w:t xml:space="preserve"> </w:t>
      </w:r>
      <w:r w:rsidRPr="00834B7E">
        <w:rPr>
          <w:rFonts w:eastAsia="Times New Roman"/>
          <w:bCs/>
          <w:lang w:eastAsia="zh-CN"/>
        </w:rPr>
        <w:t>report power-class fallback ΔP</w:t>
      </w:r>
      <w:r w:rsidRPr="00834B7E">
        <w:rPr>
          <w:rFonts w:eastAsia="Times New Roman"/>
          <w:bCs/>
          <w:vertAlign w:val="subscript"/>
          <w:lang w:eastAsia="zh-CN"/>
        </w:rPr>
        <w:t>PowerClass,EN-DC</w:t>
      </w:r>
      <w:r w:rsidRPr="00834B7E">
        <w:rPr>
          <w:rFonts w:eastAsia="Times New Roman"/>
          <w:bCs/>
          <w:lang w:eastAsia="zh-CN"/>
        </w:rPr>
        <w:t xml:space="preserve"> in the multi-entry PHR for the BC.</w:t>
      </w:r>
    </w:p>
    <w:p w14:paraId="799A2833" w14:textId="00881901" w:rsidR="00834B7E" w:rsidRPr="00834B7E" w:rsidRDefault="00834B7E" w:rsidP="00834B7E">
      <w:pPr>
        <w:pStyle w:val="afe"/>
        <w:numPr>
          <w:ilvl w:val="2"/>
          <w:numId w:val="33"/>
        </w:numPr>
        <w:overflowPunct/>
        <w:autoSpaceDE/>
        <w:autoSpaceDN/>
        <w:adjustRightInd/>
        <w:spacing w:after="120"/>
        <w:ind w:firstLineChars="0"/>
        <w:textAlignment w:val="auto"/>
      </w:pPr>
      <w:r w:rsidRPr="00834B7E">
        <w:rPr>
          <w:rFonts w:eastAsia="宋体"/>
          <w:szCs w:val="24"/>
          <w:lang w:eastAsia="zh-CN"/>
        </w:rPr>
        <w:t>Power class being used by the UE. Because</w:t>
      </w:r>
      <w:r w:rsidRPr="00834B7E">
        <w:rPr>
          <w:bCs/>
          <w:lang w:eastAsia="zh-CN"/>
        </w:rPr>
        <w:t xml:space="preserve"> reporting </w:t>
      </w:r>
      <w:r w:rsidRPr="00834B7E">
        <w:rPr>
          <w:rFonts w:eastAsia="Times New Roman"/>
          <w:bCs/>
          <w:lang w:eastAsia="zh-CN"/>
        </w:rPr>
        <w:t>ΔP</w:t>
      </w:r>
      <w:r w:rsidRPr="00834B7E">
        <w:rPr>
          <w:rFonts w:eastAsia="Times New Roman"/>
          <w:bCs/>
          <w:vertAlign w:val="subscript"/>
          <w:lang w:eastAsia="zh-CN"/>
        </w:rPr>
        <w:t>PowerClass</w:t>
      </w:r>
      <w:r w:rsidRPr="00834B7E">
        <w:rPr>
          <w:rFonts w:eastAsia="Times New Roman"/>
          <w:bCs/>
          <w:lang w:eastAsia="zh-CN"/>
        </w:rPr>
        <w:t xml:space="preserve"> must be a huge burden for both UE and network.</w:t>
      </w:r>
    </w:p>
    <w:p w14:paraId="125D0885" w14:textId="77777777" w:rsidR="00834B7E" w:rsidRDefault="00834B7E" w:rsidP="00834B7E">
      <w:pPr>
        <w:pStyle w:val="afe"/>
        <w:numPr>
          <w:ilvl w:val="3"/>
          <w:numId w:val="33"/>
        </w:numPr>
        <w:spacing w:after="120"/>
        <w:ind w:firstLineChars="0"/>
      </w:pPr>
      <w:r>
        <w:t>For single band HPUE operation, PC being used by a UE must be able to be reported per serving cell.</w:t>
      </w:r>
    </w:p>
    <w:p w14:paraId="161C82D4" w14:textId="77777777" w:rsidR="00834B7E" w:rsidRDefault="00834B7E" w:rsidP="00834B7E">
      <w:pPr>
        <w:pStyle w:val="afe"/>
        <w:numPr>
          <w:ilvl w:val="3"/>
          <w:numId w:val="33"/>
        </w:numPr>
        <w:spacing w:after="120"/>
        <w:ind w:firstLineChars="0"/>
      </w:pPr>
      <w:r>
        <w:t>For UL inter band CA HPUE operation, PC being used by a UE must be able to be reported per serving cell per band within a band combination as well as CA PC being used CA for the band combination itself.</w:t>
      </w:r>
    </w:p>
    <w:p w14:paraId="1F8F49CC" w14:textId="292412AF" w:rsidR="00834B7E" w:rsidRPr="00834B7E" w:rsidRDefault="00834B7E" w:rsidP="00834B7E">
      <w:pPr>
        <w:pStyle w:val="afe"/>
        <w:numPr>
          <w:ilvl w:val="2"/>
          <w:numId w:val="33"/>
        </w:numPr>
        <w:overflowPunct/>
        <w:autoSpaceDE/>
        <w:autoSpaceDN/>
        <w:adjustRightInd/>
        <w:spacing w:after="120"/>
        <w:ind w:firstLineChars="0"/>
        <w:textAlignment w:val="auto"/>
      </w:pPr>
      <w:r w:rsidRPr="00834B7E">
        <w:rPr>
          <w:rFonts w:eastAsia="宋体"/>
          <w:szCs w:val="24"/>
          <w:lang w:eastAsia="zh-CN"/>
        </w:rPr>
        <w:t>The sustainable duty cycle over a certain duration that would prevent triggering a power class fallback at the UE, as well as period of applicability of the ∆</w:t>
      </w:r>
      <w:r w:rsidRPr="00834B7E">
        <w:rPr>
          <w:rFonts w:eastAsia="Times New Roman"/>
          <w:bCs/>
          <w:lang w:eastAsia="zh-CN"/>
        </w:rPr>
        <w:t>P</w:t>
      </w:r>
      <w:r w:rsidRPr="00834B7E">
        <w:rPr>
          <w:rFonts w:eastAsia="Times New Roman"/>
          <w:bCs/>
          <w:vertAlign w:val="subscript"/>
          <w:lang w:eastAsia="zh-CN"/>
        </w:rPr>
        <w:t>PowerClass</w:t>
      </w:r>
      <w:r w:rsidRPr="00834B7E">
        <w:rPr>
          <w:rFonts w:eastAsia="宋体"/>
          <w:szCs w:val="24"/>
          <w:lang w:eastAsia="zh-CN"/>
        </w:rPr>
        <w:t xml:space="preserve"> report</w:t>
      </w:r>
      <w:r w:rsidRPr="00834B7E">
        <w:rPr>
          <w:rFonts w:eastAsia="Times New Roman"/>
          <w:bCs/>
          <w:lang w:eastAsia="zh-CN"/>
        </w:rPr>
        <w:t>.</w:t>
      </w:r>
    </w:p>
    <w:p w14:paraId="67ED8D00" w14:textId="3A4F3A6D" w:rsidR="00834B7E" w:rsidRPr="00834B7E" w:rsidRDefault="00834B7E" w:rsidP="00834B7E">
      <w:pPr>
        <w:pStyle w:val="afe"/>
        <w:numPr>
          <w:ilvl w:val="2"/>
          <w:numId w:val="33"/>
        </w:numPr>
        <w:overflowPunct/>
        <w:autoSpaceDE/>
        <w:autoSpaceDN/>
        <w:adjustRightInd/>
        <w:spacing w:after="120"/>
        <w:ind w:firstLineChars="0"/>
        <w:textAlignment w:val="auto"/>
      </w:pPr>
      <w:r w:rsidRPr="00834B7E">
        <w:rPr>
          <w:bCs/>
          <w:lang w:eastAsia="zh-CN"/>
        </w:rPr>
        <w:t>Introduce a scheme for a UE to report uplink symbol evaluation period and starting timing.</w:t>
      </w:r>
    </w:p>
    <w:p w14:paraId="0033DECF" w14:textId="4AE25D59" w:rsidR="00834B7E" w:rsidRPr="00834B7E" w:rsidRDefault="00834B7E" w:rsidP="00834B7E">
      <w:pPr>
        <w:pStyle w:val="afe"/>
        <w:numPr>
          <w:ilvl w:val="2"/>
          <w:numId w:val="33"/>
        </w:numPr>
        <w:overflowPunct/>
        <w:autoSpaceDE/>
        <w:autoSpaceDN/>
        <w:adjustRightInd/>
        <w:spacing w:after="120"/>
        <w:ind w:firstLineChars="0"/>
        <w:textAlignment w:val="auto"/>
      </w:pPr>
      <w:r w:rsidRPr="00834B7E">
        <w:rPr>
          <w:bCs/>
          <w:lang w:eastAsia="zh-CN"/>
        </w:rPr>
        <w:t>Enhance the current power headroom reporting framework to enable P-MPR reporting (via MPE field) for FR1 carriers</w:t>
      </w:r>
      <w:r>
        <w:rPr>
          <w:bCs/>
          <w:lang w:eastAsia="zh-CN"/>
        </w:rPr>
        <w:t>.</w:t>
      </w:r>
    </w:p>
    <w:p w14:paraId="63636A3E" w14:textId="77777777" w:rsidR="00C15698" w:rsidRDefault="00C15698" w:rsidP="005B4802">
      <w:pPr>
        <w:rPr>
          <w:color w:val="0070C0"/>
          <w:lang w:val="en-US" w:eastAsia="zh-CN"/>
        </w:rPr>
      </w:pPr>
    </w:p>
    <w:p w14:paraId="35E7EC7A" w14:textId="66B1867B" w:rsidR="00834B7E" w:rsidRPr="00FC351E" w:rsidRDefault="00834B7E" w:rsidP="00834B7E">
      <w:pPr>
        <w:pStyle w:val="2"/>
        <w:numPr>
          <w:ilvl w:val="0"/>
          <w:numId w:val="0"/>
        </w:numPr>
        <w:jc w:val="both"/>
        <w:rPr>
          <w:rFonts w:ascii="Times New Roman" w:hAnsi="Times New Roman"/>
          <w:b/>
          <w:sz w:val="20"/>
          <w:u w:val="single"/>
          <w:lang w:val="en-GB" w:eastAsia="ko-KR"/>
        </w:rPr>
      </w:pPr>
      <w:r w:rsidRPr="002B3EF0">
        <w:rPr>
          <w:rFonts w:ascii="Times New Roman" w:hAnsi="Times New Roman"/>
          <w:b/>
          <w:sz w:val="20"/>
          <w:u w:val="single"/>
          <w:lang w:eastAsia="ko-KR"/>
        </w:rPr>
        <w:t xml:space="preserve">Issue </w:t>
      </w:r>
      <w:r>
        <w:rPr>
          <w:rFonts w:ascii="Times New Roman" w:hAnsi="Times New Roman"/>
          <w:b/>
          <w:sz w:val="20"/>
          <w:u w:val="single"/>
          <w:lang w:eastAsia="ko-KR"/>
        </w:rPr>
        <w:t>6</w:t>
      </w:r>
      <w:r w:rsidRPr="002B3EF0">
        <w:rPr>
          <w:rFonts w:ascii="Times New Roman" w:hAnsi="Times New Roman"/>
          <w:b/>
          <w:sz w:val="20"/>
          <w:u w:val="single"/>
          <w:lang w:eastAsia="ko-KR"/>
        </w:rPr>
        <w:t xml:space="preserve">: </w:t>
      </w:r>
      <w:r w:rsidRPr="00834B7E">
        <w:rPr>
          <w:rFonts w:ascii="Times New Roman" w:hAnsi="Times New Roman"/>
          <w:b/>
          <w:sz w:val="20"/>
          <w:u w:val="single"/>
          <w:lang w:val="en-GB" w:eastAsia="ko-KR"/>
        </w:rPr>
        <w:t>Other proposal</w:t>
      </w:r>
    </w:p>
    <w:p w14:paraId="1D67E0C9" w14:textId="504A002D" w:rsidR="00834B7E" w:rsidRPr="00834B7E" w:rsidRDefault="00834B7E" w:rsidP="00834B7E">
      <w:pPr>
        <w:widowControl w:val="0"/>
        <w:tabs>
          <w:tab w:val="num" w:pos="1440"/>
          <w:tab w:val="num" w:pos="1701"/>
        </w:tabs>
        <w:spacing w:beforeLines="50" w:before="120"/>
        <w:rPr>
          <w:lang w:eastAsia="zh-CN"/>
        </w:rPr>
      </w:pPr>
      <w:r w:rsidRPr="00FC351E">
        <w:rPr>
          <w:b/>
          <w:lang w:eastAsia="zh-CN"/>
        </w:rPr>
        <w:t>&lt;</w:t>
      </w:r>
      <w:r w:rsidRPr="008166B0">
        <w:rPr>
          <w:b/>
          <w:lang w:eastAsia="zh-CN"/>
        </w:rPr>
        <w:t>Recommended WF</w:t>
      </w:r>
      <w:r w:rsidRPr="00FC351E">
        <w:rPr>
          <w:b/>
          <w:lang w:eastAsia="zh-CN"/>
        </w:rPr>
        <w:t>&gt;</w:t>
      </w:r>
    </w:p>
    <w:p w14:paraId="42B42FBE" w14:textId="6EBA0BED" w:rsidR="00807F65" w:rsidRPr="00807F65" w:rsidRDefault="00241E3F" w:rsidP="00807F65">
      <w:pPr>
        <w:pStyle w:val="afe"/>
        <w:numPr>
          <w:ilvl w:val="0"/>
          <w:numId w:val="33"/>
        </w:numPr>
        <w:overflowPunct/>
        <w:autoSpaceDE/>
        <w:autoSpaceDN/>
        <w:adjustRightInd/>
        <w:spacing w:after="120"/>
        <w:ind w:firstLineChars="0"/>
        <w:textAlignment w:val="auto"/>
      </w:pPr>
      <w:r>
        <w:rPr>
          <w:rFonts w:eastAsiaTheme="minorEastAsia"/>
          <w:lang w:eastAsia="zh-CN"/>
        </w:rPr>
        <w:t>Encourage companies to check the discussion progress in RAN1 then decide whether to further discuss the energy headroom report in RAN4 with more clarification.</w:t>
      </w:r>
    </w:p>
    <w:sectPr w:rsidR="00807F65" w:rsidRPr="00807F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CCD882" w14:textId="77777777" w:rsidR="0039348E" w:rsidRDefault="0039348E">
      <w:r>
        <w:separator/>
      </w:r>
    </w:p>
  </w:endnote>
  <w:endnote w:type="continuationSeparator" w:id="0">
    <w:p w14:paraId="3DBA2DDE" w14:textId="77777777" w:rsidR="0039348E" w:rsidRDefault="00393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6B3B" w14:textId="77777777" w:rsidR="0039348E" w:rsidRDefault="0039348E">
      <w:r>
        <w:separator/>
      </w:r>
    </w:p>
  </w:footnote>
  <w:footnote w:type="continuationSeparator" w:id="0">
    <w:p w14:paraId="499761F2" w14:textId="77777777" w:rsidR="0039348E" w:rsidRDefault="00393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98316B"/>
    <w:multiLevelType w:val="hybridMultilevel"/>
    <w:tmpl w:val="8FDA15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0E4E68A">
      <w:start w:val="1"/>
      <w:numFmt w:val="decimal"/>
      <w:lvlText w:val="%3."/>
      <w:lvlJc w:val="left"/>
      <w:pPr>
        <w:ind w:left="1260" w:hanging="420"/>
      </w:pPr>
      <w:rPr>
        <w:rFonts w:ascii="Times New Roman" w:eastAsia="宋体"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BB4"/>
    <w:multiLevelType w:val="singleLevel"/>
    <w:tmpl w:val="21B01BB4"/>
    <w:lvl w:ilvl="0">
      <w:start w:val="1"/>
      <w:numFmt w:val="bullet"/>
      <w:lvlText w:val="-"/>
      <w:lvlJc w:val="left"/>
      <w:pPr>
        <w:tabs>
          <w:tab w:val="left" w:pos="840"/>
        </w:tabs>
        <w:ind w:left="1260" w:hanging="420"/>
      </w:pPr>
      <w:rPr>
        <w:rFonts w:ascii="Arial" w:hAnsi="Arial" w:cs="Arial" w:hint="default"/>
      </w:rPr>
    </w:lvl>
  </w:abstractNum>
  <w:abstractNum w:abstractNumId="9" w15:restartNumberingAfterBreak="0">
    <w:nsid w:val="22AF54BA"/>
    <w:multiLevelType w:val="hybridMultilevel"/>
    <w:tmpl w:val="6AFA9192"/>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AD37A3D"/>
    <w:multiLevelType w:val="multilevel"/>
    <w:tmpl w:val="67742EF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190005">
      <w:start w:val="1"/>
      <w:numFmt w:val="bullet"/>
      <w:lvlText w:val=""/>
      <w:lvlJc w:val="left"/>
      <w:pPr>
        <w:ind w:left="2224" w:hanging="360"/>
      </w:pPr>
      <w:rPr>
        <w:rFonts w:ascii="Wingdings" w:hAnsi="Wingdings" w:hint="default"/>
      </w:rPr>
    </w:lvl>
    <w:lvl w:ilvl="3" w:tplc="0419000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1"/>
  </w:num>
  <w:num w:numId="3">
    <w:abstractNumId w:val="17"/>
  </w:num>
  <w:num w:numId="4">
    <w:abstractNumId w:val="16"/>
  </w:num>
  <w:num w:numId="5">
    <w:abstractNumId w:val="13"/>
  </w:num>
  <w:num w:numId="6">
    <w:abstractNumId w:val="13"/>
  </w:num>
  <w:num w:numId="7">
    <w:abstractNumId w:val="13"/>
  </w:num>
  <w:num w:numId="8">
    <w:abstractNumId w:val="13"/>
  </w:num>
  <w:num w:numId="9">
    <w:abstractNumId w:val="13"/>
  </w:num>
  <w:num w:numId="10">
    <w:abstractNumId w:val="13"/>
  </w:num>
  <w:num w:numId="11">
    <w:abstractNumId w:val="13"/>
  </w:num>
  <w:num w:numId="12">
    <w:abstractNumId w:val="13"/>
  </w:num>
  <w:num w:numId="13">
    <w:abstractNumId w:val="13"/>
  </w:num>
  <w:num w:numId="14">
    <w:abstractNumId w:val="13"/>
  </w:num>
  <w:num w:numId="15">
    <w:abstractNumId w:val="13"/>
  </w:num>
  <w:num w:numId="16">
    <w:abstractNumId w:val="13"/>
  </w:num>
  <w:num w:numId="17">
    <w:abstractNumId w:val="10"/>
  </w:num>
  <w:num w:numId="18">
    <w:abstractNumId w:val="6"/>
  </w:num>
  <w:num w:numId="19">
    <w:abstractNumId w:val="5"/>
  </w:num>
  <w:num w:numId="20">
    <w:abstractNumId w:val="1"/>
  </w:num>
  <w:num w:numId="21">
    <w:abstractNumId w:val="13"/>
  </w:num>
  <w:num w:numId="22">
    <w:abstractNumId w:val="13"/>
  </w:num>
  <w:num w:numId="23">
    <w:abstractNumId w:val="12"/>
  </w:num>
  <w:num w:numId="24">
    <w:abstractNumId w:val="15"/>
  </w:num>
  <w:num w:numId="25">
    <w:abstractNumId w:val="14"/>
  </w:num>
  <w:num w:numId="26">
    <w:abstractNumId w:val="13"/>
  </w:num>
  <w:num w:numId="27">
    <w:abstractNumId w:val="13"/>
  </w:num>
  <w:num w:numId="28">
    <w:abstractNumId w:val="13"/>
  </w:num>
  <w:num w:numId="29">
    <w:abstractNumId w:val="2"/>
  </w:num>
  <w:num w:numId="30">
    <w:abstractNumId w:val="8"/>
  </w:num>
  <w:num w:numId="31">
    <w:abstractNumId w:val="7"/>
  </w:num>
  <w:num w:numId="32">
    <w:abstractNumId w:val="3"/>
  </w:num>
  <w:num w:numId="33">
    <w:abstractNumId w:val="4"/>
  </w:num>
  <w:num w:numId="3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6D48"/>
    <w:rsid w:val="0003171D"/>
    <w:rsid w:val="00031C1D"/>
    <w:rsid w:val="0003399B"/>
    <w:rsid w:val="00035C50"/>
    <w:rsid w:val="000457A1"/>
    <w:rsid w:val="00050001"/>
    <w:rsid w:val="00052041"/>
    <w:rsid w:val="0005326A"/>
    <w:rsid w:val="0006266D"/>
    <w:rsid w:val="00063746"/>
    <w:rsid w:val="00065506"/>
    <w:rsid w:val="00066F25"/>
    <w:rsid w:val="0007382E"/>
    <w:rsid w:val="000766E1"/>
    <w:rsid w:val="00077FF6"/>
    <w:rsid w:val="00080D82"/>
    <w:rsid w:val="00081692"/>
    <w:rsid w:val="00082C46"/>
    <w:rsid w:val="00085A0E"/>
    <w:rsid w:val="00086291"/>
    <w:rsid w:val="00087548"/>
    <w:rsid w:val="000925A2"/>
    <w:rsid w:val="00093E7E"/>
    <w:rsid w:val="000A1830"/>
    <w:rsid w:val="000A4121"/>
    <w:rsid w:val="000A4AA3"/>
    <w:rsid w:val="000A550E"/>
    <w:rsid w:val="000A7EA9"/>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F25"/>
    <w:rsid w:val="000E7858"/>
    <w:rsid w:val="000F39CA"/>
    <w:rsid w:val="00107927"/>
    <w:rsid w:val="00110E26"/>
    <w:rsid w:val="00111321"/>
    <w:rsid w:val="001128E7"/>
    <w:rsid w:val="00117BD6"/>
    <w:rsid w:val="001206C2"/>
    <w:rsid w:val="001208C3"/>
    <w:rsid w:val="00121978"/>
    <w:rsid w:val="00122458"/>
    <w:rsid w:val="00123422"/>
    <w:rsid w:val="00124B6A"/>
    <w:rsid w:val="00130462"/>
    <w:rsid w:val="00136D4C"/>
    <w:rsid w:val="001424FA"/>
    <w:rsid w:val="00142538"/>
    <w:rsid w:val="00142BB9"/>
    <w:rsid w:val="00144F96"/>
    <w:rsid w:val="00151EAC"/>
    <w:rsid w:val="00153528"/>
    <w:rsid w:val="00154E68"/>
    <w:rsid w:val="00162548"/>
    <w:rsid w:val="00162A9D"/>
    <w:rsid w:val="00163C8C"/>
    <w:rsid w:val="00172183"/>
    <w:rsid w:val="001751AB"/>
    <w:rsid w:val="00175A3F"/>
    <w:rsid w:val="00180E09"/>
    <w:rsid w:val="00183D4C"/>
    <w:rsid w:val="00183F6D"/>
    <w:rsid w:val="0018670E"/>
    <w:rsid w:val="0019178B"/>
    <w:rsid w:val="0019219A"/>
    <w:rsid w:val="0019358E"/>
    <w:rsid w:val="00195077"/>
    <w:rsid w:val="001A033F"/>
    <w:rsid w:val="001A08AA"/>
    <w:rsid w:val="001A59CB"/>
    <w:rsid w:val="001B2A15"/>
    <w:rsid w:val="001B7991"/>
    <w:rsid w:val="001C1409"/>
    <w:rsid w:val="001C2AE6"/>
    <w:rsid w:val="001C4A89"/>
    <w:rsid w:val="001C6177"/>
    <w:rsid w:val="001C70D1"/>
    <w:rsid w:val="001D0363"/>
    <w:rsid w:val="001D12B4"/>
    <w:rsid w:val="001D1B07"/>
    <w:rsid w:val="001D7D94"/>
    <w:rsid w:val="001E0A28"/>
    <w:rsid w:val="001E2472"/>
    <w:rsid w:val="001E4218"/>
    <w:rsid w:val="001E6C4D"/>
    <w:rsid w:val="001F0B20"/>
    <w:rsid w:val="001F3CD7"/>
    <w:rsid w:val="001F5FD8"/>
    <w:rsid w:val="00200A62"/>
    <w:rsid w:val="00203740"/>
    <w:rsid w:val="0021005A"/>
    <w:rsid w:val="002138EA"/>
    <w:rsid w:val="002139EA"/>
    <w:rsid w:val="00213F84"/>
    <w:rsid w:val="00214FBD"/>
    <w:rsid w:val="00215F3D"/>
    <w:rsid w:val="00221E08"/>
    <w:rsid w:val="00222897"/>
    <w:rsid w:val="00222B0C"/>
    <w:rsid w:val="00235394"/>
    <w:rsid w:val="00235577"/>
    <w:rsid w:val="002371B2"/>
    <w:rsid w:val="00241E3F"/>
    <w:rsid w:val="002435CA"/>
    <w:rsid w:val="0024469F"/>
    <w:rsid w:val="0024572A"/>
    <w:rsid w:val="00250B5B"/>
    <w:rsid w:val="00252DB8"/>
    <w:rsid w:val="00253031"/>
    <w:rsid w:val="002537BC"/>
    <w:rsid w:val="00255C58"/>
    <w:rsid w:val="00260EC7"/>
    <w:rsid w:val="00261539"/>
    <w:rsid w:val="0026179F"/>
    <w:rsid w:val="00262BB0"/>
    <w:rsid w:val="002666AE"/>
    <w:rsid w:val="00274E1A"/>
    <w:rsid w:val="00274E25"/>
    <w:rsid w:val="002775B1"/>
    <w:rsid w:val="002775B9"/>
    <w:rsid w:val="002811C4"/>
    <w:rsid w:val="00282213"/>
    <w:rsid w:val="00284016"/>
    <w:rsid w:val="002858BF"/>
    <w:rsid w:val="00285B39"/>
    <w:rsid w:val="002939AF"/>
    <w:rsid w:val="00294491"/>
    <w:rsid w:val="00294685"/>
    <w:rsid w:val="00294BDE"/>
    <w:rsid w:val="002A0CED"/>
    <w:rsid w:val="002A282D"/>
    <w:rsid w:val="002A4CD0"/>
    <w:rsid w:val="002A7DA6"/>
    <w:rsid w:val="002B32D3"/>
    <w:rsid w:val="002B3EF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521"/>
    <w:rsid w:val="003022A5"/>
    <w:rsid w:val="00307E51"/>
    <w:rsid w:val="00311363"/>
    <w:rsid w:val="00315867"/>
    <w:rsid w:val="00321150"/>
    <w:rsid w:val="003260D7"/>
    <w:rsid w:val="00332F48"/>
    <w:rsid w:val="00336697"/>
    <w:rsid w:val="003418CB"/>
    <w:rsid w:val="0035058B"/>
    <w:rsid w:val="00350937"/>
    <w:rsid w:val="00355873"/>
    <w:rsid w:val="0035660F"/>
    <w:rsid w:val="003628B9"/>
    <w:rsid w:val="00362D8F"/>
    <w:rsid w:val="00367724"/>
    <w:rsid w:val="003710BA"/>
    <w:rsid w:val="003770F6"/>
    <w:rsid w:val="00383E37"/>
    <w:rsid w:val="00386883"/>
    <w:rsid w:val="00390C4E"/>
    <w:rsid w:val="00393042"/>
    <w:rsid w:val="0039348E"/>
    <w:rsid w:val="00394AD5"/>
    <w:rsid w:val="0039642D"/>
    <w:rsid w:val="00396DE1"/>
    <w:rsid w:val="003A2E40"/>
    <w:rsid w:val="003B0158"/>
    <w:rsid w:val="003B40B6"/>
    <w:rsid w:val="003B56DB"/>
    <w:rsid w:val="003B755E"/>
    <w:rsid w:val="003C228E"/>
    <w:rsid w:val="003C51E7"/>
    <w:rsid w:val="003C62CB"/>
    <w:rsid w:val="003C6893"/>
    <w:rsid w:val="003C6DE2"/>
    <w:rsid w:val="003C7E37"/>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7592"/>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70C4"/>
    <w:rsid w:val="00461E39"/>
    <w:rsid w:val="00462D3A"/>
    <w:rsid w:val="00463521"/>
    <w:rsid w:val="00471125"/>
    <w:rsid w:val="0047437A"/>
    <w:rsid w:val="00480E42"/>
    <w:rsid w:val="00484C5D"/>
    <w:rsid w:val="0048543E"/>
    <w:rsid w:val="004868C1"/>
    <w:rsid w:val="0048750F"/>
    <w:rsid w:val="004A17E9"/>
    <w:rsid w:val="004A495F"/>
    <w:rsid w:val="004A7544"/>
    <w:rsid w:val="004B3E42"/>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0A81"/>
    <w:rsid w:val="00510CF9"/>
    <w:rsid w:val="005117A9"/>
    <w:rsid w:val="00511F57"/>
    <w:rsid w:val="00512D8C"/>
    <w:rsid w:val="00515CBE"/>
    <w:rsid w:val="00515E2B"/>
    <w:rsid w:val="00522A7E"/>
    <w:rsid w:val="00522F20"/>
    <w:rsid w:val="005275E8"/>
    <w:rsid w:val="005308DB"/>
    <w:rsid w:val="00530A2E"/>
    <w:rsid w:val="00530DBA"/>
    <w:rsid w:val="00530FBE"/>
    <w:rsid w:val="00533159"/>
    <w:rsid w:val="005337AA"/>
    <w:rsid w:val="005339DB"/>
    <w:rsid w:val="00534C89"/>
    <w:rsid w:val="00541573"/>
    <w:rsid w:val="0054348A"/>
    <w:rsid w:val="00571777"/>
    <w:rsid w:val="005807A4"/>
    <w:rsid w:val="00580FF5"/>
    <w:rsid w:val="0058519C"/>
    <w:rsid w:val="00590ACD"/>
    <w:rsid w:val="0059149A"/>
    <w:rsid w:val="005956EE"/>
    <w:rsid w:val="00596F87"/>
    <w:rsid w:val="005A083E"/>
    <w:rsid w:val="005B4802"/>
    <w:rsid w:val="005C1EA6"/>
    <w:rsid w:val="005C7E60"/>
    <w:rsid w:val="005D0B99"/>
    <w:rsid w:val="005D308E"/>
    <w:rsid w:val="005D3A48"/>
    <w:rsid w:val="005D75EB"/>
    <w:rsid w:val="005D7AF8"/>
    <w:rsid w:val="005E17BF"/>
    <w:rsid w:val="005E366A"/>
    <w:rsid w:val="005F2145"/>
    <w:rsid w:val="006016E1"/>
    <w:rsid w:val="00602D27"/>
    <w:rsid w:val="006071A5"/>
    <w:rsid w:val="00613731"/>
    <w:rsid w:val="006144A1"/>
    <w:rsid w:val="00615EBB"/>
    <w:rsid w:val="00616096"/>
    <w:rsid w:val="006160A2"/>
    <w:rsid w:val="006165B8"/>
    <w:rsid w:val="00624A8A"/>
    <w:rsid w:val="006302AA"/>
    <w:rsid w:val="006363BD"/>
    <w:rsid w:val="006412DC"/>
    <w:rsid w:val="006418C7"/>
    <w:rsid w:val="00642BC6"/>
    <w:rsid w:val="00644790"/>
    <w:rsid w:val="00645321"/>
    <w:rsid w:val="006501AF"/>
    <w:rsid w:val="00650DDE"/>
    <w:rsid w:val="00653BCF"/>
    <w:rsid w:val="0065505B"/>
    <w:rsid w:val="006670AC"/>
    <w:rsid w:val="00672307"/>
    <w:rsid w:val="006808C6"/>
    <w:rsid w:val="00681AF3"/>
    <w:rsid w:val="00682668"/>
    <w:rsid w:val="00692A68"/>
    <w:rsid w:val="00695D85"/>
    <w:rsid w:val="006A30A2"/>
    <w:rsid w:val="006A6D23"/>
    <w:rsid w:val="006B25DE"/>
    <w:rsid w:val="006C1C3B"/>
    <w:rsid w:val="006C4E43"/>
    <w:rsid w:val="006C643E"/>
    <w:rsid w:val="006D2932"/>
    <w:rsid w:val="006D3671"/>
    <w:rsid w:val="006D4176"/>
    <w:rsid w:val="006D4B9B"/>
    <w:rsid w:val="006D6754"/>
    <w:rsid w:val="006E0A73"/>
    <w:rsid w:val="006E0FEE"/>
    <w:rsid w:val="006E6C11"/>
    <w:rsid w:val="006F54A7"/>
    <w:rsid w:val="006F7C0C"/>
    <w:rsid w:val="00700755"/>
    <w:rsid w:val="0070646B"/>
    <w:rsid w:val="007130A2"/>
    <w:rsid w:val="00715463"/>
    <w:rsid w:val="00724B81"/>
    <w:rsid w:val="00730655"/>
    <w:rsid w:val="00731D77"/>
    <w:rsid w:val="00732360"/>
    <w:rsid w:val="0073390A"/>
    <w:rsid w:val="00734E64"/>
    <w:rsid w:val="00736B37"/>
    <w:rsid w:val="00740A35"/>
    <w:rsid w:val="007519F7"/>
    <w:rsid w:val="007520B4"/>
    <w:rsid w:val="007655D5"/>
    <w:rsid w:val="007763C1"/>
    <w:rsid w:val="00777E82"/>
    <w:rsid w:val="00781359"/>
    <w:rsid w:val="0078167F"/>
    <w:rsid w:val="00786921"/>
    <w:rsid w:val="007950C9"/>
    <w:rsid w:val="007A1EAA"/>
    <w:rsid w:val="007A79FD"/>
    <w:rsid w:val="007B0B9D"/>
    <w:rsid w:val="007B26E3"/>
    <w:rsid w:val="007B5A43"/>
    <w:rsid w:val="007B709B"/>
    <w:rsid w:val="007C1343"/>
    <w:rsid w:val="007C3497"/>
    <w:rsid w:val="007C5EF1"/>
    <w:rsid w:val="007C7BF5"/>
    <w:rsid w:val="007D19B7"/>
    <w:rsid w:val="007D3D21"/>
    <w:rsid w:val="007D75E5"/>
    <w:rsid w:val="007D773E"/>
    <w:rsid w:val="007E066E"/>
    <w:rsid w:val="007E1356"/>
    <w:rsid w:val="007E20FC"/>
    <w:rsid w:val="007E5999"/>
    <w:rsid w:val="007E7062"/>
    <w:rsid w:val="007F0E1E"/>
    <w:rsid w:val="007F29A7"/>
    <w:rsid w:val="008004B4"/>
    <w:rsid w:val="00805BE8"/>
    <w:rsid w:val="00807F65"/>
    <w:rsid w:val="00816078"/>
    <w:rsid w:val="008166B0"/>
    <w:rsid w:val="008177E3"/>
    <w:rsid w:val="00821429"/>
    <w:rsid w:val="00823AA9"/>
    <w:rsid w:val="008255B9"/>
    <w:rsid w:val="00825CD8"/>
    <w:rsid w:val="00827324"/>
    <w:rsid w:val="00834B7E"/>
    <w:rsid w:val="008355EA"/>
    <w:rsid w:val="00837458"/>
    <w:rsid w:val="00837AAE"/>
    <w:rsid w:val="008429AD"/>
    <w:rsid w:val="008429DB"/>
    <w:rsid w:val="00850C74"/>
    <w:rsid w:val="00850C75"/>
    <w:rsid w:val="00850E39"/>
    <w:rsid w:val="0085477A"/>
    <w:rsid w:val="00855107"/>
    <w:rsid w:val="00855173"/>
    <w:rsid w:val="008557D9"/>
    <w:rsid w:val="00855BF7"/>
    <w:rsid w:val="00856214"/>
    <w:rsid w:val="00860369"/>
    <w:rsid w:val="00862089"/>
    <w:rsid w:val="00866D5B"/>
    <w:rsid w:val="00866FF5"/>
    <w:rsid w:val="0087332D"/>
    <w:rsid w:val="00873E1F"/>
    <w:rsid w:val="00874C16"/>
    <w:rsid w:val="00886D1F"/>
    <w:rsid w:val="00887CAD"/>
    <w:rsid w:val="00891EE1"/>
    <w:rsid w:val="00893987"/>
    <w:rsid w:val="008963EF"/>
    <w:rsid w:val="0089688E"/>
    <w:rsid w:val="008A1FBE"/>
    <w:rsid w:val="008A4CCE"/>
    <w:rsid w:val="008A6D1F"/>
    <w:rsid w:val="008B3194"/>
    <w:rsid w:val="008B5AE7"/>
    <w:rsid w:val="008C60E9"/>
    <w:rsid w:val="008D1B7C"/>
    <w:rsid w:val="008D6657"/>
    <w:rsid w:val="008E1F60"/>
    <w:rsid w:val="008E307E"/>
    <w:rsid w:val="008F4DD1"/>
    <w:rsid w:val="008F6056"/>
    <w:rsid w:val="00902C07"/>
    <w:rsid w:val="00905804"/>
    <w:rsid w:val="009101E2"/>
    <w:rsid w:val="0091378F"/>
    <w:rsid w:val="00915D73"/>
    <w:rsid w:val="00916077"/>
    <w:rsid w:val="009170A2"/>
    <w:rsid w:val="009208A6"/>
    <w:rsid w:val="00924514"/>
    <w:rsid w:val="00926894"/>
    <w:rsid w:val="00927316"/>
    <w:rsid w:val="0093133D"/>
    <w:rsid w:val="0093276D"/>
    <w:rsid w:val="00933D12"/>
    <w:rsid w:val="00937065"/>
    <w:rsid w:val="00940285"/>
    <w:rsid w:val="009415B0"/>
    <w:rsid w:val="00947E7E"/>
    <w:rsid w:val="0095139A"/>
    <w:rsid w:val="00953E16"/>
    <w:rsid w:val="009542AC"/>
    <w:rsid w:val="00961429"/>
    <w:rsid w:val="00961BB2"/>
    <w:rsid w:val="00962108"/>
    <w:rsid w:val="009638D6"/>
    <w:rsid w:val="00966C07"/>
    <w:rsid w:val="0097408E"/>
    <w:rsid w:val="009748BC"/>
    <w:rsid w:val="00974BB2"/>
    <w:rsid w:val="00974FA7"/>
    <w:rsid w:val="009756E5"/>
    <w:rsid w:val="00977A8C"/>
    <w:rsid w:val="00983910"/>
    <w:rsid w:val="009932AC"/>
    <w:rsid w:val="00994351"/>
    <w:rsid w:val="00995259"/>
    <w:rsid w:val="00996A8F"/>
    <w:rsid w:val="009A1DBF"/>
    <w:rsid w:val="009A68E6"/>
    <w:rsid w:val="009A6AAF"/>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240"/>
    <w:rsid w:val="00A05E84"/>
    <w:rsid w:val="00A0758F"/>
    <w:rsid w:val="00A10D11"/>
    <w:rsid w:val="00A1570A"/>
    <w:rsid w:val="00A17866"/>
    <w:rsid w:val="00A17D27"/>
    <w:rsid w:val="00A211B4"/>
    <w:rsid w:val="00A223CF"/>
    <w:rsid w:val="00A273CB"/>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C39"/>
    <w:rsid w:val="00AD7736"/>
    <w:rsid w:val="00AE10CE"/>
    <w:rsid w:val="00AE70D4"/>
    <w:rsid w:val="00AE7868"/>
    <w:rsid w:val="00AF0407"/>
    <w:rsid w:val="00AF049B"/>
    <w:rsid w:val="00AF38F5"/>
    <w:rsid w:val="00AF4D8B"/>
    <w:rsid w:val="00B01251"/>
    <w:rsid w:val="00B02FD9"/>
    <w:rsid w:val="00B067CA"/>
    <w:rsid w:val="00B12B26"/>
    <w:rsid w:val="00B163F8"/>
    <w:rsid w:val="00B204F1"/>
    <w:rsid w:val="00B2472D"/>
    <w:rsid w:val="00B24CA0"/>
    <w:rsid w:val="00B2549F"/>
    <w:rsid w:val="00B4108D"/>
    <w:rsid w:val="00B5517B"/>
    <w:rsid w:val="00B57265"/>
    <w:rsid w:val="00B633AE"/>
    <w:rsid w:val="00B64178"/>
    <w:rsid w:val="00B64D13"/>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2C5E"/>
    <w:rsid w:val="00BA307F"/>
    <w:rsid w:val="00BA5280"/>
    <w:rsid w:val="00BB14F1"/>
    <w:rsid w:val="00BB1D6D"/>
    <w:rsid w:val="00BB572E"/>
    <w:rsid w:val="00BB74FD"/>
    <w:rsid w:val="00BC5982"/>
    <w:rsid w:val="00BC60BF"/>
    <w:rsid w:val="00BD28BF"/>
    <w:rsid w:val="00BD2D12"/>
    <w:rsid w:val="00BD6404"/>
    <w:rsid w:val="00BE33AE"/>
    <w:rsid w:val="00BE3FC3"/>
    <w:rsid w:val="00BF046F"/>
    <w:rsid w:val="00BF1309"/>
    <w:rsid w:val="00C01D50"/>
    <w:rsid w:val="00C056DC"/>
    <w:rsid w:val="00C1329B"/>
    <w:rsid w:val="00C15698"/>
    <w:rsid w:val="00C1572F"/>
    <w:rsid w:val="00C22D02"/>
    <w:rsid w:val="00C23F12"/>
    <w:rsid w:val="00C24C05"/>
    <w:rsid w:val="00C24D2F"/>
    <w:rsid w:val="00C26222"/>
    <w:rsid w:val="00C31283"/>
    <w:rsid w:val="00C33C48"/>
    <w:rsid w:val="00C340E5"/>
    <w:rsid w:val="00C35AA7"/>
    <w:rsid w:val="00C404C3"/>
    <w:rsid w:val="00C42368"/>
    <w:rsid w:val="00C43BA1"/>
    <w:rsid w:val="00C43DAB"/>
    <w:rsid w:val="00C47F08"/>
    <w:rsid w:val="00C514A6"/>
    <w:rsid w:val="00C5739F"/>
    <w:rsid w:val="00C57CF0"/>
    <w:rsid w:val="00C63557"/>
    <w:rsid w:val="00C649BD"/>
    <w:rsid w:val="00C65891"/>
    <w:rsid w:val="00C66AC9"/>
    <w:rsid w:val="00C724D3"/>
    <w:rsid w:val="00C72951"/>
    <w:rsid w:val="00C77DD9"/>
    <w:rsid w:val="00C80B34"/>
    <w:rsid w:val="00C83BE6"/>
    <w:rsid w:val="00C8446E"/>
    <w:rsid w:val="00C85354"/>
    <w:rsid w:val="00C86ABA"/>
    <w:rsid w:val="00C93357"/>
    <w:rsid w:val="00C943F3"/>
    <w:rsid w:val="00CA04DB"/>
    <w:rsid w:val="00CA08C6"/>
    <w:rsid w:val="00CA0A77"/>
    <w:rsid w:val="00CA2729"/>
    <w:rsid w:val="00CA3057"/>
    <w:rsid w:val="00CA45F8"/>
    <w:rsid w:val="00CB0305"/>
    <w:rsid w:val="00CB33C7"/>
    <w:rsid w:val="00CB416A"/>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287A"/>
    <w:rsid w:val="00D3188C"/>
    <w:rsid w:val="00D356C1"/>
    <w:rsid w:val="00D35F9B"/>
    <w:rsid w:val="00D36B69"/>
    <w:rsid w:val="00D373B9"/>
    <w:rsid w:val="00D408DD"/>
    <w:rsid w:val="00D4416B"/>
    <w:rsid w:val="00D44DCF"/>
    <w:rsid w:val="00D45D72"/>
    <w:rsid w:val="00D520E4"/>
    <w:rsid w:val="00D53A38"/>
    <w:rsid w:val="00D575DD"/>
    <w:rsid w:val="00D57DFA"/>
    <w:rsid w:val="00D67FCF"/>
    <w:rsid w:val="00D709CE"/>
    <w:rsid w:val="00D71F73"/>
    <w:rsid w:val="00D726B6"/>
    <w:rsid w:val="00D80786"/>
    <w:rsid w:val="00D81CAB"/>
    <w:rsid w:val="00D83E9A"/>
    <w:rsid w:val="00D8576F"/>
    <w:rsid w:val="00D8677F"/>
    <w:rsid w:val="00D97F0C"/>
    <w:rsid w:val="00DA3A86"/>
    <w:rsid w:val="00DC03EE"/>
    <w:rsid w:val="00DC2500"/>
    <w:rsid w:val="00DC4F72"/>
    <w:rsid w:val="00DC77DC"/>
    <w:rsid w:val="00DD0453"/>
    <w:rsid w:val="00DD0C2C"/>
    <w:rsid w:val="00DD19DE"/>
    <w:rsid w:val="00DD28BC"/>
    <w:rsid w:val="00DE31F0"/>
    <w:rsid w:val="00DE3D1C"/>
    <w:rsid w:val="00DF79BA"/>
    <w:rsid w:val="00E01C41"/>
    <w:rsid w:val="00E0227D"/>
    <w:rsid w:val="00E036CF"/>
    <w:rsid w:val="00E04B84"/>
    <w:rsid w:val="00E06466"/>
    <w:rsid w:val="00E06835"/>
    <w:rsid w:val="00E06FDA"/>
    <w:rsid w:val="00E160A5"/>
    <w:rsid w:val="00E1713D"/>
    <w:rsid w:val="00E20A43"/>
    <w:rsid w:val="00E23898"/>
    <w:rsid w:val="00E319F1"/>
    <w:rsid w:val="00E33CD2"/>
    <w:rsid w:val="00E40E90"/>
    <w:rsid w:val="00E45AA7"/>
    <w:rsid w:val="00E45C7E"/>
    <w:rsid w:val="00E531EB"/>
    <w:rsid w:val="00E54874"/>
    <w:rsid w:val="00E54B6F"/>
    <w:rsid w:val="00E55ACA"/>
    <w:rsid w:val="00E57B74"/>
    <w:rsid w:val="00E65BC6"/>
    <w:rsid w:val="00E661FF"/>
    <w:rsid w:val="00E726EB"/>
    <w:rsid w:val="00E72CF1"/>
    <w:rsid w:val="00E80B52"/>
    <w:rsid w:val="00E824C3"/>
    <w:rsid w:val="00E829E6"/>
    <w:rsid w:val="00E840B3"/>
    <w:rsid w:val="00E84D10"/>
    <w:rsid w:val="00E8629F"/>
    <w:rsid w:val="00E91008"/>
    <w:rsid w:val="00E9374E"/>
    <w:rsid w:val="00E94F54"/>
    <w:rsid w:val="00E97AD5"/>
    <w:rsid w:val="00EA1111"/>
    <w:rsid w:val="00EA3B4F"/>
    <w:rsid w:val="00EA3C24"/>
    <w:rsid w:val="00EA73DF"/>
    <w:rsid w:val="00EA79C4"/>
    <w:rsid w:val="00EB61AE"/>
    <w:rsid w:val="00EC322D"/>
    <w:rsid w:val="00ED06C9"/>
    <w:rsid w:val="00ED0811"/>
    <w:rsid w:val="00ED383A"/>
    <w:rsid w:val="00EE1080"/>
    <w:rsid w:val="00EE26DB"/>
    <w:rsid w:val="00EE58F3"/>
    <w:rsid w:val="00EF1EC5"/>
    <w:rsid w:val="00EF26C9"/>
    <w:rsid w:val="00EF4C88"/>
    <w:rsid w:val="00EF55EB"/>
    <w:rsid w:val="00F00DCC"/>
    <w:rsid w:val="00F01055"/>
    <w:rsid w:val="00F0156F"/>
    <w:rsid w:val="00F05AC8"/>
    <w:rsid w:val="00F07167"/>
    <w:rsid w:val="00F072D8"/>
    <w:rsid w:val="00F07CE0"/>
    <w:rsid w:val="00F10DDF"/>
    <w:rsid w:val="00F115F5"/>
    <w:rsid w:val="00F13D05"/>
    <w:rsid w:val="00F1439E"/>
    <w:rsid w:val="00F1679D"/>
    <w:rsid w:val="00F1682C"/>
    <w:rsid w:val="00F17850"/>
    <w:rsid w:val="00F20B91"/>
    <w:rsid w:val="00F21139"/>
    <w:rsid w:val="00F24B8B"/>
    <w:rsid w:val="00F252E9"/>
    <w:rsid w:val="00F30D2E"/>
    <w:rsid w:val="00F35516"/>
    <w:rsid w:val="00F35790"/>
    <w:rsid w:val="00F403E4"/>
    <w:rsid w:val="00F4136D"/>
    <w:rsid w:val="00F4212E"/>
    <w:rsid w:val="00F42C20"/>
    <w:rsid w:val="00F43E34"/>
    <w:rsid w:val="00F4780E"/>
    <w:rsid w:val="00F53053"/>
    <w:rsid w:val="00F53FE2"/>
    <w:rsid w:val="00F575FF"/>
    <w:rsid w:val="00F618EF"/>
    <w:rsid w:val="00F65582"/>
    <w:rsid w:val="00F66E75"/>
    <w:rsid w:val="00F71FBC"/>
    <w:rsid w:val="00F77EB0"/>
    <w:rsid w:val="00F87CDD"/>
    <w:rsid w:val="00F91437"/>
    <w:rsid w:val="00F933F0"/>
    <w:rsid w:val="00F937A3"/>
    <w:rsid w:val="00F94715"/>
    <w:rsid w:val="00F96A3D"/>
    <w:rsid w:val="00FA4718"/>
    <w:rsid w:val="00FA5848"/>
    <w:rsid w:val="00FA6899"/>
    <w:rsid w:val="00FA7F3D"/>
    <w:rsid w:val="00FB1408"/>
    <w:rsid w:val="00FB38D8"/>
    <w:rsid w:val="00FC051F"/>
    <w:rsid w:val="00FC06FF"/>
    <w:rsid w:val="00FC351E"/>
    <w:rsid w:val="00FC45F4"/>
    <w:rsid w:val="00FC5404"/>
    <w:rsid w:val="00FC69B4"/>
    <w:rsid w:val="00FD0694"/>
    <w:rsid w:val="00FD0D3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B7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列表段,列"/>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表段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4FFE3-09D3-4ACF-8CB0-DB3100F59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495</Words>
  <Characters>2822</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3311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Sanjun Feng(vivo)</dc:creator>
  <cp:lastModifiedBy>Huawei</cp:lastModifiedBy>
  <cp:revision>4</cp:revision>
  <cp:lastPrinted>2019-04-25T01:09:00Z</cp:lastPrinted>
  <dcterms:created xsi:type="dcterms:W3CDTF">2023-03-02T13:46:00Z</dcterms:created>
  <dcterms:modified xsi:type="dcterms:W3CDTF">2023-03-03T09:19:00Z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(3)1IWdepmpcip0RrveZNABunt/JybUz7ZbjurgqTyvp97nzngpvFtFacdW09CGhrp2C6X+JgbX
oE4AhE7JtIqRz6+wNXO8PniOPjsKsC7ov4/IEXbpfnR6bxr91frOyz1/fkVzt9LK5N1HFNmN
VG1cLxoN5fvKSEUv+6y0lB/Z3gFky2puJopRAflnmLHEoOq6TLvM0v2j2R+mPMGnubbQzx6w
Umd2uBExWh2BswEF27</vt:lpwstr>
  </property>
  <property fmtid="{D5CDD505-2E9C-101B-9397-08002B2CF9AE}" pid="10" name="_2015_ms_pID_7253431">
    <vt:lpwstr>w66zKyXjplr9pDQdi42HOU4D8VCyl+8xymmR7LF471DxRCZG6eaTcV
1Qh9sndGCehHlfC/CtcLdiMnKQLFWGDvq8Gls+vdNLG3pI6u6mXyNt4hQ0XRZNtnGVwr/jXs
PEVohAun/ODcsfCvLP3jOc7u0MfwVRyeD1goCxsLyDkHmy9PmfOA/AanaBYmPpSrBXRPHWtX
sEwT2GmfyZa33tEaDw7xo8i9VVo3LbxtnSLV</vt:lpwstr>
  </property>
  <property fmtid="{D5CDD505-2E9C-101B-9397-08002B2CF9AE}" pid="11" name="_2015_ms_pID_7253432">
    <vt:lpwstr>nw==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2022-11-18T09:00:30Z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4192a853-980a-47b8-880a-7fc3b299f2ee</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